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ook w:val="00A0" w:firstRow="1" w:lastRow="0" w:firstColumn="1" w:lastColumn="0" w:noHBand="0" w:noVBand="0"/>
      </w:tblPr>
      <w:tblGrid>
        <w:gridCol w:w="9360"/>
      </w:tblGrid>
      <w:tr w:rsidR="00302FAA" w:rsidRPr="004447E5" w:rsidTr="009C1D52">
        <w:trPr>
          <w:trHeight w:val="3276"/>
        </w:trPr>
        <w:tc>
          <w:tcPr>
            <w:tcW w:w="9360" w:type="dxa"/>
          </w:tcPr>
          <w:p w:rsidR="00302FAA" w:rsidRDefault="00302FAA" w:rsidP="00FA060E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02FAA" w:rsidRPr="000C4482" w:rsidRDefault="00302FAA" w:rsidP="00FA060E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FAA" w:rsidRPr="008E68C0" w:rsidRDefault="00302FAA" w:rsidP="00FA060E">
            <w:pPr>
              <w:tabs>
                <w:tab w:val="left" w:pos="7272"/>
              </w:tabs>
              <w:spacing w:after="0" w:line="280" w:lineRule="exact"/>
              <w:ind w:left="47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DF06BE"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и территорий общего пользования Георгиевского городского округа Ставропольского края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Георгиевского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>круга Ставропольского края «Формиров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современной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(в редакции постановления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страции Георгиевского городского округа Ставропольского края  </w:t>
            </w:r>
            <w:r w:rsidR="00F80C36">
              <w:rPr>
                <w:rFonts w:ascii="Times New Roman" w:hAnsi="Times New Roman"/>
                <w:sz w:val="28"/>
                <w:szCs w:val="28"/>
              </w:rPr>
              <w:t xml:space="preserve">          от 19 августа</w:t>
            </w:r>
            <w:r w:rsidR="00FA06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2019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F80C36">
              <w:rPr>
                <w:rFonts w:ascii="Times New Roman" w:hAnsi="Times New Roman"/>
                <w:sz w:val="28"/>
                <w:szCs w:val="28"/>
              </w:rPr>
              <w:t>2692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02FAA" w:rsidRDefault="00302FAA" w:rsidP="00FA060E">
            <w:pPr>
              <w:spacing w:after="0" w:line="30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FAA" w:rsidRDefault="00302FAA" w:rsidP="00FA060E">
            <w:pPr>
              <w:spacing w:after="0" w:line="30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FAA" w:rsidRDefault="00302FAA" w:rsidP="00FA060E">
            <w:pPr>
              <w:spacing w:after="0" w:line="30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FAA" w:rsidRDefault="00302FAA" w:rsidP="00FA060E">
            <w:pPr>
              <w:spacing w:after="0" w:line="30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FAA" w:rsidRDefault="00302FAA" w:rsidP="00FA060E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АДРЕСНЫЙ ПЕРЕЧЕНЬ</w:t>
            </w:r>
          </w:p>
          <w:p w:rsidR="00302FAA" w:rsidRDefault="00302FAA" w:rsidP="00FA060E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060E" w:rsidRDefault="00302FAA" w:rsidP="00FA060E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общественных территорий, расположенных на территории Георгиевского городского округа Ставропольского края, нуждающихся в благоустройстве (с учетом их физическ</w:t>
            </w:r>
            <w:r>
              <w:rPr>
                <w:rFonts w:ascii="Times New Roman" w:hAnsi="Times New Roman"/>
                <w:sz w:val="28"/>
                <w:szCs w:val="28"/>
              </w:rPr>
              <w:t>ого состояния) и подлежащих бла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гоустройству</w:t>
            </w:r>
          </w:p>
          <w:p w:rsidR="00302FAA" w:rsidRDefault="00302FAA" w:rsidP="00FA060E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указанный период</w:t>
            </w:r>
          </w:p>
          <w:p w:rsidR="00CF664B" w:rsidRDefault="00CF664B" w:rsidP="00FA060E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664B" w:rsidRPr="00D4335D" w:rsidRDefault="00CF664B" w:rsidP="00FA060E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FAA" w:rsidRPr="00FA060E" w:rsidRDefault="00302FAA" w:rsidP="00E37B0D">
      <w:pPr>
        <w:spacing w:after="0" w:line="240" w:lineRule="auto"/>
        <w:jc w:val="center"/>
        <w:rPr>
          <w:rFonts w:ascii="Times New Roman" w:hAnsi="Times New Roman"/>
          <w:vanish/>
          <w:sz w:val="28"/>
          <w:szCs w:val="28"/>
        </w:rPr>
      </w:pPr>
    </w:p>
    <w:p w:rsidR="00302FAA" w:rsidRPr="00FA060E" w:rsidRDefault="00302FAA" w:rsidP="00E37B0D">
      <w:pPr>
        <w:spacing w:after="0" w:line="240" w:lineRule="auto"/>
        <w:jc w:val="center"/>
        <w:rPr>
          <w:rFonts w:ascii="Times New Roman" w:hAnsi="Times New Roman"/>
          <w:vanish/>
          <w:sz w:val="28"/>
          <w:szCs w:val="28"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612"/>
        <w:gridCol w:w="3364"/>
      </w:tblGrid>
      <w:tr w:rsidR="00302FAA" w:rsidRPr="000C4482" w:rsidTr="002A780D">
        <w:trPr>
          <w:trHeight w:val="639"/>
        </w:trPr>
        <w:tc>
          <w:tcPr>
            <w:tcW w:w="524" w:type="dxa"/>
          </w:tcPr>
          <w:p w:rsidR="00302FAA" w:rsidRPr="000C4482" w:rsidRDefault="00302FAA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02FAA" w:rsidRPr="000C4482" w:rsidRDefault="00302FAA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302FAA" w:rsidRPr="000C4482" w:rsidRDefault="00302FAA" w:rsidP="00E37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E37B0D">
              <w:rPr>
                <w:rFonts w:ascii="Times New Roman" w:hAnsi="Times New Roman"/>
                <w:sz w:val="28"/>
                <w:szCs w:val="28"/>
              </w:rPr>
              <w:t>ерритории общего пользования</w:t>
            </w:r>
          </w:p>
        </w:tc>
        <w:tc>
          <w:tcPr>
            <w:tcW w:w="3446" w:type="dxa"/>
          </w:tcPr>
          <w:p w:rsidR="00302FAA" w:rsidRDefault="00302FAA" w:rsidP="00E37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302FAA" w:rsidRPr="000C4482" w:rsidRDefault="00302FAA" w:rsidP="00E37B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</w:p>
        </w:tc>
      </w:tr>
    </w:tbl>
    <w:p w:rsidR="00CB2728" w:rsidRPr="00CB2728" w:rsidRDefault="00CB2728" w:rsidP="00CB2728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5657"/>
        <w:gridCol w:w="3347"/>
      </w:tblGrid>
      <w:tr w:rsidR="00302FAA" w:rsidRPr="00655B19" w:rsidTr="002A780D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парк Дружбы 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</w:tc>
      </w:tr>
      <w:tr w:rsidR="00302FAA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бульвар по улице Лермонтова 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</w:p>
        </w:tc>
      </w:tr>
      <w:tr w:rsidR="00302FAA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пл. П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беды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302FAA" w:rsidRPr="00655B19" w:rsidTr="002A780D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рекре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ционная зона от ул. Калинина, д. 119 до ул. Мира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Бойко (сквер Железнодорожного вокзала)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К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линина, от ул. Гастелло до ул. Строителей (с прилегающей территорией памятника гер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ям Гражданской войны)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Л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у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начарского, от ул. Лермонтова до ул. 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к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тябрьской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DA6905">
        <w:trPr>
          <w:trHeight w:val="410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К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линина и </w:t>
            </w:r>
            <w:proofErr w:type="spellStart"/>
            <w:r w:rsidRPr="00655B19">
              <w:rPr>
                <w:rFonts w:ascii="Times New Roman" w:hAnsi="Times New Roman"/>
                <w:sz w:val="28"/>
                <w:szCs w:val="28"/>
              </w:rPr>
              <w:t>Батакская</w:t>
            </w:r>
            <w:proofErr w:type="spellEnd"/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lastRenderedPageBreak/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lastRenderedPageBreak/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К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линина, от ул. Пушкина до ул. Октябрьской (сквер Толстовского)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М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и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ра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11.</w:t>
            </w:r>
          </w:p>
          <w:p w:rsidR="00302FAA" w:rsidRPr="00655B19" w:rsidRDefault="00302FAA" w:rsidP="00A13C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ул. </w:t>
            </w:r>
            <w:proofErr w:type="spellStart"/>
            <w:r w:rsidRPr="00655B19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</w:t>
            </w:r>
            <w:r w:rsidR="00E37B0D">
              <w:rPr>
                <w:rFonts w:ascii="Times New Roman" w:hAnsi="Times New Roman"/>
                <w:sz w:val="28"/>
                <w:szCs w:val="28"/>
              </w:rPr>
              <w:t xml:space="preserve">опольский край, п. </w:t>
            </w:r>
            <w:proofErr w:type="spellStart"/>
            <w:r w:rsidR="00E37B0D">
              <w:rPr>
                <w:rFonts w:ascii="Times New Roman" w:hAnsi="Times New Roman"/>
                <w:sz w:val="28"/>
                <w:szCs w:val="28"/>
              </w:rPr>
              <w:t>Балковский</w:t>
            </w:r>
            <w:proofErr w:type="spellEnd"/>
            <w:r w:rsidR="00E37B0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ул. Н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вая, 18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B19">
              <w:rPr>
                <w:rFonts w:ascii="Times New Roman" w:hAnsi="Times New Roman"/>
                <w:sz w:val="28"/>
                <w:szCs w:val="28"/>
              </w:rPr>
              <w:t>Падинский</w:t>
            </w:r>
            <w:proofErr w:type="spellEnd"/>
            <w:r w:rsidRPr="00655B19">
              <w:rPr>
                <w:rFonts w:ascii="Times New Roman" w:hAnsi="Times New Roman"/>
                <w:sz w:val="28"/>
                <w:szCs w:val="28"/>
              </w:rPr>
              <w:t>, ул. 40 лет Победы, 14а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ст. Незлобная, терр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и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с. </w:t>
            </w:r>
            <w:proofErr w:type="spellStart"/>
            <w:r w:rsidRPr="00655B19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655B19">
              <w:rPr>
                <w:rFonts w:ascii="Times New Roman" w:hAnsi="Times New Roman"/>
                <w:sz w:val="28"/>
                <w:szCs w:val="28"/>
              </w:rPr>
              <w:t>, территория перед домом культуры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302FAA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E37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с. Обильное, площадь перед домом культуры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302FAA" w:rsidRPr="00655B19" w:rsidRDefault="00302FAA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о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ж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</w:tbl>
    <w:p w:rsidR="00302FAA" w:rsidRDefault="00302FAA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</w:p>
    <w:sectPr w:rsidR="00302FAA" w:rsidSect="00FA060E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3C1" w:rsidRDefault="003B43C1" w:rsidP="003056F3">
      <w:pPr>
        <w:spacing w:after="0" w:line="240" w:lineRule="auto"/>
      </w:pPr>
      <w:r>
        <w:separator/>
      </w:r>
    </w:p>
  </w:endnote>
  <w:endnote w:type="continuationSeparator" w:id="0">
    <w:p w:rsidR="003B43C1" w:rsidRDefault="003B43C1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3C1" w:rsidRDefault="003B43C1" w:rsidP="003056F3">
      <w:pPr>
        <w:spacing w:after="0" w:line="240" w:lineRule="auto"/>
      </w:pPr>
      <w:r>
        <w:separator/>
      </w:r>
    </w:p>
  </w:footnote>
  <w:footnote w:type="continuationSeparator" w:id="0">
    <w:p w:rsidR="003B43C1" w:rsidRDefault="003B43C1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FAA" w:rsidRPr="003056F3" w:rsidRDefault="00302FAA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 w:rsidR="00F80C36"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92"/>
    <w:rsid w:val="0000081F"/>
    <w:rsid w:val="000056A6"/>
    <w:rsid w:val="00005791"/>
    <w:rsid w:val="00020D01"/>
    <w:rsid w:val="00027A5E"/>
    <w:rsid w:val="00037654"/>
    <w:rsid w:val="00054078"/>
    <w:rsid w:val="000578A0"/>
    <w:rsid w:val="00077728"/>
    <w:rsid w:val="000951A6"/>
    <w:rsid w:val="000C4482"/>
    <w:rsid w:val="000C7D59"/>
    <w:rsid w:val="00101E7E"/>
    <w:rsid w:val="0013150C"/>
    <w:rsid w:val="0013666D"/>
    <w:rsid w:val="00157F80"/>
    <w:rsid w:val="0016096F"/>
    <w:rsid w:val="0016502F"/>
    <w:rsid w:val="00165A86"/>
    <w:rsid w:val="0017074B"/>
    <w:rsid w:val="00197229"/>
    <w:rsid w:val="001A3736"/>
    <w:rsid w:val="001A4660"/>
    <w:rsid w:val="001C551B"/>
    <w:rsid w:val="001D6CD3"/>
    <w:rsid w:val="001E7875"/>
    <w:rsid w:val="001F5E0A"/>
    <w:rsid w:val="00222C21"/>
    <w:rsid w:val="00230D1C"/>
    <w:rsid w:val="00242E37"/>
    <w:rsid w:val="00246AD2"/>
    <w:rsid w:val="00266417"/>
    <w:rsid w:val="00296607"/>
    <w:rsid w:val="002A4E2C"/>
    <w:rsid w:val="002A65EC"/>
    <w:rsid w:val="002A780D"/>
    <w:rsid w:val="002C4556"/>
    <w:rsid w:val="00302FAA"/>
    <w:rsid w:val="003056F3"/>
    <w:rsid w:val="00316A0A"/>
    <w:rsid w:val="00324E54"/>
    <w:rsid w:val="003460D4"/>
    <w:rsid w:val="00347466"/>
    <w:rsid w:val="00382F55"/>
    <w:rsid w:val="00394D0C"/>
    <w:rsid w:val="003950F3"/>
    <w:rsid w:val="003B43C1"/>
    <w:rsid w:val="003C3A39"/>
    <w:rsid w:val="003F0141"/>
    <w:rsid w:val="003F5046"/>
    <w:rsid w:val="0040033E"/>
    <w:rsid w:val="00401254"/>
    <w:rsid w:val="00405676"/>
    <w:rsid w:val="00416005"/>
    <w:rsid w:val="00423DCB"/>
    <w:rsid w:val="00424B7E"/>
    <w:rsid w:val="004447E5"/>
    <w:rsid w:val="00460577"/>
    <w:rsid w:val="004A62EE"/>
    <w:rsid w:val="004D03A1"/>
    <w:rsid w:val="004D46F3"/>
    <w:rsid w:val="004D76C0"/>
    <w:rsid w:val="0051217B"/>
    <w:rsid w:val="005136A9"/>
    <w:rsid w:val="00521B38"/>
    <w:rsid w:val="00532817"/>
    <w:rsid w:val="00544393"/>
    <w:rsid w:val="005533D6"/>
    <w:rsid w:val="00581612"/>
    <w:rsid w:val="00586808"/>
    <w:rsid w:val="005874D3"/>
    <w:rsid w:val="005B0F42"/>
    <w:rsid w:val="005B3860"/>
    <w:rsid w:val="005B4516"/>
    <w:rsid w:val="005B52B7"/>
    <w:rsid w:val="005C4223"/>
    <w:rsid w:val="005D1CC4"/>
    <w:rsid w:val="005E76F5"/>
    <w:rsid w:val="005E7B33"/>
    <w:rsid w:val="005F76E3"/>
    <w:rsid w:val="0060382D"/>
    <w:rsid w:val="006062A1"/>
    <w:rsid w:val="00637A91"/>
    <w:rsid w:val="00651D97"/>
    <w:rsid w:val="00654F0A"/>
    <w:rsid w:val="00655B19"/>
    <w:rsid w:val="00666BBF"/>
    <w:rsid w:val="00673632"/>
    <w:rsid w:val="006933EA"/>
    <w:rsid w:val="00693A62"/>
    <w:rsid w:val="006C27C9"/>
    <w:rsid w:val="006C3555"/>
    <w:rsid w:val="006E061C"/>
    <w:rsid w:val="006E3012"/>
    <w:rsid w:val="006E7A49"/>
    <w:rsid w:val="006F1414"/>
    <w:rsid w:val="006F6792"/>
    <w:rsid w:val="00737053"/>
    <w:rsid w:val="00737657"/>
    <w:rsid w:val="00746D12"/>
    <w:rsid w:val="00755E94"/>
    <w:rsid w:val="0078192C"/>
    <w:rsid w:val="00786852"/>
    <w:rsid w:val="007A02FD"/>
    <w:rsid w:val="007A037C"/>
    <w:rsid w:val="007B65C0"/>
    <w:rsid w:val="007D5394"/>
    <w:rsid w:val="007E5E05"/>
    <w:rsid w:val="00804FD3"/>
    <w:rsid w:val="008105CD"/>
    <w:rsid w:val="00857667"/>
    <w:rsid w:val="008717EA"/>
    <w:rsid w:val="00883692"/>
    <w:rsid w:val="00885486"/>
    <w:rsid w:val="008936BE"/>
    <w:rsid w:val="00894C16"/>
    <w:rsid w:val="008A0013"/>
    <w:rsid w:val="008B39C7"/>
    <w:rsid w:val="008C20FB"/>
    <w:rsid w:val="008D77E7"/>
    <w:rsid w:val="008E36C5"/>
    <w:rsid w:val="008E68C0"/>
    <w:rsid w:val="008F7119"/>
    <w:rsid w:val="00900727"/>
    <w:rsid w:val="009069D2"/>
    <w:rsid w:val="00942A3E"/>
    <w:rsid w:val="0094642B"/>
    <w:rsid w:val="0097461A"/>
    <w:rsid w:val="0098249B"/>
    <w:rsid w:val="00986FF5"/>
    <w:rsid w:val="009B1BA3"/>
    <w:rsid w:val="009B2622"/>
    <w:rsid w:val="009B2879"/>
    <w:rsid w:val="009C1D4C"/>
    <w:rsid w:val="009C1D52"/>
    <w:rsid w:val="00A13C7F"/>
    <w:rsid w:val="00A21506"/>
    <w:rsid w:val="00A252EA"/>
    <w:rsid w:val="00A325E5"/>
    <w:rsid w:val="00A77F02"/>
    <w:rsid w:val="00A84805"/>
    <w:rsid w:val="00A94DB9"/>
    <w:rsid w:val="00AA1E7A"/>
    <w:rsid w:val="00AC5B8C"/>
    <w:rsid w:val="00AE01F9"/>
    <w:rsid w:val="00AE2554"/>
    <w:rsid w:val="00AE309F"/>
    <w:rsid w:val="00AE73B2"/>
    <w:rsid w:val="00B272A5"/>
    <w:rsid w:val="00B400BA"/>
    <w:rsid w:val="00B528C0"/>
    <w:rsid w:val="00B52F75"/>
    <w:rsid w:val="00B61302"/>
    <w:rsid w:val="00B74A39"/>
    <w:rsid w:val="00B8017A"/>
    <w:rsid w:val="00B9423A"/>
    <w:rsid w:val="00BA63A0"/>
    <w:rsid w:val="00BD17C3"/>
    <w:rsid w:val="00BD7A29"/>
    <w:rsid w:val="00C307ED"/>
    <w:rsid w:val="00C47141"/>
    <w:rsid w:val="00C51AC3"/>
    <w:rsid w:val="00C7388B"/>
    <w:rsid w:val="00C82C51"/>
    <w:rsid w:val="00C83880"/>
    <w:rsid w:val="00C86023"/>
    <w:rsid w:val="00C93BE2"/>
    <w:rsid w:val="00CB1508"/>
    <w:rsid w:val="00CB2728"/>
    <w:rsid w:val="00CF4A39"/>
    <w:rsid w:val="00CF664B"/>
    <w:rsid w:val="00D34CCB"/>
    <w:rsid w:val="00D355DE"/>
    <w:rsid w:val="00D36B2A"/>
    <w:rsid w:val="00D4335D"/>
    <w:rsid w:val="00D64278"/>
    <w:rsid w:val="00D73920"/>
    <w:rsid w:val="00D7556B"/>
    <w:rsid w:val="00D91E0D"/>
    <w:rsid w:val="00D91FEB"/>
    <w:rsid w:val="00D94EAE"/>
    <w:rsid w:val="00DA6905"/>
    <w:rsid w:val="00DC5F9B"/>
    <w:rsid w:val="00DF06BE"/>
    <w:rsid w:val="00DF2682"/>
    <w:rsid w:val="00DF2783"/>
    <w:rsid w:val="00E04FDF"/>
    <w:rsid w:val="00E16BA1"/>
    <w:rsid w:val="00E21FEB"/>
    <w:rsid w:val="00E33232"/>
    <w:rsid w:val="00E37B0D"/>
    <w:rsid w:val="00E425E5"/>
    <w:rsid w:val="00E63129"/>
    <w:rsid w:val="00E636EA"/>
    <w:rsid w:val="00E76002"/>
    <w:rsid w:val="00E812E9"/>
    <w:rsid w:val="00EA6E1F"/>
    <w:rsid w:val="00EB743D"/>
    <w:rsid w:val="00ED131C"/>
    <w:rsid w:val="00ED52D2"/>
    <w:rsid w:val="00ED5D84"/>
    <w:rsid w:val="00EE3ACE"/>
    <w:rsid w:val="00F004B7"/>
    <w:rsid w:val="00F02EED"/>
    <w:rsid w:val="00F0378C"/>
    <w:rsid w:val="00F27FAB"/>
    <w:rsid w:val="00F3036F"/>
    <w:rsid w:val="00F31BDD"/>
    <w:rsid w:val="00F32473"/>
    <w:rsid w:val="00F32969"/>
    <w:rsid w:val="00F41221"/>
    <w:rsid w:val="00F461A8"/>
    <w:rsid w:val="00F524F9"/>
    <w:rsid w:val="00F54FE8"/>
    <w:rsid w:val="00F7448F"/>
    <w:rsid w:val="00F80C36"/>
    <w:rsid w:val="00F80E8E"/>
    <w:rsid w:val="00F878CE"/>
    <w:rsid w:val="00F9231D"/>
    <w:rsid w:val="00F93997"/>
    <w:rsid w:val="00FA060E"/>
    <w:rsid w:val="00FA21A4"/>
    <w:rsid w:val="00FA5301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056F3"/>
    <w:rPr>
      <w:rFonts w:cs="Times New Roman"/>
      <w:sz w:val="22"/>
    </w:rPr>
  </w:style>
  <w:style w:type="paragraph" w:styleId="aa">
    <w:name w:val="footnote text"/>
    <w:basedOn w:val="a"/>
    <w:link w:val="ab"/>
    <w:uiPriority w:val="99"/>
    <w:semiHidden/>
    <w:rsid w:val="009C1D4C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D355D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9C1D4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73</cp:revision>
  <cp:lastPrinted>2019-07-03T08:36:00Z</cp:lastPrinted>
  <dcterms:created xsi:type="dcterms:W3CDTF">2017-03-06T07:58:00Z</dcterms:created>
  <dcterms:modified xsi:type="dcterms:W3CDTF">2019-08-26T07:23:00Z</dcterms:modified>
</cp:coreProperties>
</file>