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D17" w:rsidRDefault="00B83D17" w:rsidP="00B83D17">
      <w:pPr>
        <w:jc w:val="center"/>
      </w:pPr>
      <w:r>
        <w:rPr>
          <w:b/>
          <w:sz w:val="32"/>
          <w:szCs w:val="32"/>
        </w:rPr>
        <w:t>ПОСТАНОВЛЕНИЕ</w:t>
      </w:r>
    </w:p>
    <w:p w:rsidR="00B83D17" w:rsidRDefault="00B83D17" w:rsidP="00B83D17">
      <w:pPr>
        <w:jc w:val="center"/>
      </w:pPr>
      <w:r>
        <w:rPr>
          <w:b/>
          <w:sz w:val="28"/>
          <w:szCs w:val="28"/>
        </w:rPr>
        <w:t xml:space="preserve">АДМИНИСТРАЦИИ </w:t>
      </w:r>
      <w:proofErr w:type="gramStart"/>
      <w:r>
        <w:rPr>
          <w:b/>
          <w:sz w:val="28"/>
          <w:szCs w:val="28"/>
        </w:rPr>
        <w:t>ГЕОРГИЕВСКОГО</w:t>
      </w:r>
      <w:proofErr w:type="gramEnd"/>
    </w:p>
    <w:p w:rsidR="00B83D17" w:rsidRDefault="00B83D17" w:rsidP="00B83D17">
      <w:pPr>
        <w:jc w:val="center"/>
      </w:pPr>
      <w:r>
        <w:rPr>
          <w:rFonts w:eastAsia="Lucida Sans Unicode"/>
          <w:b/>
          <w:kern w:val="2"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</w:t>
      </w:r>
    </w:p>
    <w:p w:rsidR="00B83D17" w:rsidRDefault="00B83D17" w:rsidP="00B83D17">
      <w:pPr>
        <w:jc w:val="center"/>
      </w:pPr>
      <w:r>
        <w:rPr>
          <w:b/>
          <w:sz w:val="28"/>
          <w:szCs w:val="28"/>
        </w:rPr>
        <w:t>СТАВРОПОЛЬСКОГО КРАЯ</w:t>
      </w:r>
    </w:p>
    <w:p w:rsidR="00B83D17" w:rsidRDefault="00B83D17" w:rsidP="00B83D17">
      <w:pPr>
        <w:jc w:val="center"/>
        <w:rPr>
          <w:sz w:val="28"/>
          <w:szCs w:val="28"/>
        </w:rPr>
      </w:pPr>
    </w:p>
    <w:p w:rsidR="00B83D17" w:rsidRPr="00EC6783" w:rsidRDefault="00FA35F0" w:rsidP="00B83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февраля </w:t>
      </w:r>
      <w:r w:rsidR="00B83D17" w:rsidRPr="00EC6783">
        <w:rPr>
          <w:sz w:val="28"/>
          <w:szCs w:val="28"/>
        </w:rPr>
        <w:t>20</w:t>
      </w:r>
      <w:r w:rsidR="00B83D17">
        <w:rPr>
          <w:sz w:val="28"/>
          <w:szCs w:val="28"/>
        </w:rPr>
        <w:t>26</w:t>
      </w:r>
      <w:r w:rsidR="00B83D17" w:rsidRPr="00EC6783">
        <w:rPr>
          <w:sz w:val="28"/>
          <w:szCs w:val="28"/>
        </w:rPr>
        <w:t xml:space="preserve"> г.        </w:t>
      </w:r>
      <w:r w:rsidR="00B83D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B83D17" w:rsidRPr="00EC6783">
        <w:rPr>
          <w:sz w:val="28"/>
          <w:szCs w:val="28"/>
        </w:rPr>
        <w:t xml:space="preserve">       г. Георгиевск                </w:t>
      </w:r>
      <w:r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                   № 480</w:t>
      </w:r>
    </w:p>
    <w:p w:rsidR="00B52963" w:rsidRDefault="00B52963">
      <w:pPr>
        <w:jc w:val="both"/>
        <w:rPr>
          <w:sz w:val="28"/>
          <w:szCs w:val="28"/>
        </w:rPr>
      </w:pPr>
    </w:p>
    <w:p w:rsidR="00B52963" w:rsidRDefault="00B52963">
      <w:pPr>
        <w:rPr>
          <w:sz w:val="28"/>
          <w:szCs w:val="28"/>
        </w:rPr>
      </w:pPr>
    </w:p>
    <w:p w:rsidR="00B52963" w:rsidRDefault="00B52963">
      <w:pPr>
        <w:rPr>
          <w:sz w:val="28"/>
          <w:szCs w:val="28"/>
        </w:rPr>
      </w:pPr>
    </w:p>
    <w:p w:rsidR="00B52963" w:rsidRDefault="00EE1A75">
      <w:pPr>
        <w:pStyle w:val="1"/>
        <w:keepNext w:val="0"/>
        <w:widowControl w:val="0"/>
        <w:spacing w:line="240" w:lineRule="exact"/>
        <w:jc w:val="both"/>
      </w:pPr>
      <w:r>
        <w:t>О внесении изменения в позицию «Регистрационный номер маршрута 26, порядковый номер маршрута 121</w:t>
      </w:r>
      <w:proofErr w:type="gramStart"/>
      <w:r>
        <w:t xml:space="preserve"> А</w:t>
      </w:r>
      <w:proofErr w:type="gramEnd"/>
      <w:r>
        <w:t>» реестра муниципальных маршрутов р</w:t>
      </w:r>
      <w:r>
        <w:t>е</w:t>
      </w:r>
      <w:r>
        <w:t>гулярных перевозок Георгиевского муниципального округа Ставропольского края, утвержденного постановлением администрации Георгиевского мун</w:t>
      </w:r>
      <w:r>
        <w:t>и</w:t>
      </w:r>
      <w:r>
        <w:t>ципального округа Ставропольского края от 20 августа 2025 г. № 2328</w:t>
      </w:r>
    </w:p>
    <w:p w:rsidR="00B52963" w:rsidRDefault="00B52963">
      <w:pPr>
        <w:jc w:val="both"/>
        <w:rPr>
          <w:color w:val="000000"/>
          <w:sz w:val="28"/>
          <w:szCs w:val="28"/>
        </w:rPr>
      </w:pPr>
    </w:p>
    <w:p w:rsidR="00B52963" w:rsidRDefault="00B52963">
      <w:pPr>
        <w:jc w:val="both"/>
        <w:rPr>
          <w:color w:val="000000"/>
          <w:sz w:val="28"/>
          <w:szCs w:val="28"/>
        </w:rPr>
      </w:pPr>
    </w:p>
    <w:p w:rsidR="00B52963" w:rsidRDefault="00B52963">
      <w:pPr>
        <w:jc w:val="both"/>
        <w:rPr>
          <w:color w:val="000000"/>
          <w:sz w:val="28"/>
          <w:szCs w:val="28"/>
        </w:rPr>
      </w:pPr>
    </w:p>
    <w:p w:rsidR="00B52963" w:rsidRDefault="00EE1A75">
      <w:pPr>
        <w:ind w:firstLine="709"/>
        <w:jc w:val="both"/>
      </w:pPr>
      <w:r>
        <w:rPr>
          <w:sz w:val="28"/>
          <w:szCs w:val="28"/>
        </w:rPr>
        <w:t>В соответствии с Федеральным законом от 13 июля 2015 г. № 220-ФЗ «Об организации регулярных перевозок пассажиров и багажа автомобил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транспортом и городским наземным электрическим транспортом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и о внесении изменений в отдельные законодательные акты Российской Федерации», администрация Георгиевского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округа Ставропольского края</w:t>
      </w:r>
    </w:p>
    <w:p w:rsidR="00B52963" w:rsidRDefault="00B52963">
      <w:pPr>
        <w:jc w:val="both"/>
        <w:rPr>
          <w:color w:val="000000"/>
          <w:sz w:val="28"/>
          <w:szCs w:val="26"/>
        </w:rPr>
      </w:pPr>
    </w:p>
    <w:p w:rsidR="00B52963" w:rsidRDefault="00B52963">
      <w:pPr>
        <w:jc w:val="both"/>
        <w:rPr>
          <w:color w:val="000000"/>
          <w:sz w:val="28"/>
          <w:szCs w:val="26"/>
        </w:rPr>
      </w:pPr>
    </w:p>
    <w:p w:rsidR="00B52963" w:rsidRDefault="00EE1A75">
      <w:pPr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B52963" w:rsidRDefault="00B52963">
      <w:pPr>
        <w:widowControl w:val="0"/>
        <w:jc w:val="both"/>
        <w:rPr>
          <w:color w:val="000000"/>
          <w:sz w:val="28"/>
          <w:szCs w:val="26"/>
        </w:rPr>
      </w:pPr>
    </w:p>
    <w:p w:rsidR="00B52963" w:rsidRDefault="00B52963">
      <w:pPr>
        <w:widowControl w:val="0"/>
        <w:jc w:val="both"/>
        <w:rPr>
          <w:color w:val="000000"/>
          <w:sz w:val="28"/>
          <w:szCs w:val="26"/>
        </w:rPr>
      </w:pPr>
    </w:p>
    <w:p w:rsidR="00B52963" w:rsidRDefault="00EE1A75">
      <w:pPr>
        <w:pStyle w:val="1"/>
        <w:keepNext w:val="0"/>
        <w:widowControl w:val="0"/>
        <w:ind w:firstLine="709"/>
        <w:jc w:val="both"/>
        <w:rPr>
          <w:szCs w:val="28"/>
        </w:rPr>
      </w:pPr>
      <w:r>
        <w:rPr>
          <w:color w:val="000000"/>
          <w:szCs w:val="28"/>
        </w:rPr>
        <w:t>1. Внести изменение в позицию «Регистрационный номер маршрута 26, порядковый номер маршрута 121</w:t>
      </w:r>
      <w:proofErr w:type="gramStart"/>
      <w:r>
        <w:rPr>
          <w:color w:val="000000"/>
          <w:szCs w:val="28"/>
        </w:rPr>
        <w:t xml:space="preserve"> А</w:t>
      </w:r>
      <w:proofErr w:type="gramEnd"/>
      <w:r>
        <w:rPr>
          <w:color w:val="000000"/>
          <w:szCs w:val="28"/>
        </w:rPr>
        <w:t>» реестра муниципальных маршрутов р</w:t>
      </w:r>
      <w:r>
        <w:rPr>
          <w:color w:val="000000"/>
          <w:szCs w:val="28"/>
        </w:rPr>
        <w:t>е</w:t>
      </w:r>
      <w:r>
        <w:rPr>
          <w:color w:val="000000"/>
          <w:szCs w:val="28"/>
        </w:rPr>
        <w:t>гулярных перевозок Георгиевского муниципального округа Ставропольского края, утвержденного постановлением администрации Георгиевского мун</w:t>
      </w:r>
      <w:r>
        <w:rPr>
          <w:color w:val="000000"/>
          <w:szCs w:val="28"/>
        </w:rPr>
        <w:t>и</w:t>
      </w:r>
      <w:r>
        <w:rPr>
          <w:color w:val="000000"/>
          <w:szCs w:val="28"/>
        </w:rPr>
        <w:t>ципального округа Ставропольского края от 20 августа 2025 г. № 2328 «Об утверждении реестра муниципальных маршрутов регулярных перевозок Г</w:t>
      </w:r>
      <w:r>
        <w:rPr>
          <w:color w:val="000000"/>
          <w:szCs w:val="28"/>
        </w:rPr>
        <w:t>е</w:t>
      </w:r>
      <w:r>
        <w:rPr>
          <w:color w:val="000000"/>
          <w:szCs w:val="28"/>
        </w:rPr>
        <w:t xml:space="preserve">оргиевского муниципального округа Ставропольского края» (с изменением, внесенным постановлением администрации Георгиевского муниципального округа Ставропольского края от </w:t>
      </w:r>
      <w:proofErr w:type="gramStart"/>
      <w:r>
        <w:rPr>
          <w:color w:val="000000"/>
          <w:szCs w:val="28"/>
        </w:rPr>
        <w:t>13 февраля 2026 г. № 321), изложив е</w:t>
      </w:r>
      <w:r w:rsidR="008E2130">
        <w:rPr>
          <w:color w:val="000000"/>
          <w:szCs w:val="28"/>
        </w:rPr>
        <w:t>ё</w:t>
      </w:r>
      <w:r>
        <w:rPr>
          <w:color w:val="000000"/>
          <w:szCs w:val="28"/>
        </w:rPr>
        <w:t xml:space="preserve"> в прилагаемой редакции:</w:t>
      </w:r>
      <w:proofErr w:type="gramEnd"/>
    </w:p>
    <w:p w:rsidR="00B52963" w:rsidRDefault="00B52963">
      <w:pPr>
        <w:pStyle w:val="1"/>
        <w:ind w:firstLine="709"/>
        <w:jc w:val="both"/>
        <w:rPr>
          <w:color w:val="000000"/>
          <w:szCs w:val="28"/>
        </w:rPr>
      </w:pPr>
    </w:p>
    <w:p w:rsidR="00B52963" w:rsidRDefault="00B52963">
      <w:pPr>
        <w:jc w:val="both"/>
        <w:rPr>
          <w:color w:val="000000"/>
          <w:szCs w:val="28"/>
        </w:rPr>
      </w:pPr>
    </w:p>
    <w:p w:rsidR="00B52963" w:rsidRDefault="00B52963">
      <w:pPr>
        <w:jc w:val="both"/>
        <w:rPr>
          <w:color w:val="000000"/>
          <w:szCs w:val="28"/>
        </w:rPr>
      </w:pPr>
    </w:p>
    <w:p w:rsidR="00B52963" w:rsidRDefault="00B52963">
      <w:pPr>
        <w:jc w:val="both"/>
        <w:rPr>
          <w:color w:val="000000"/>
          <w:szCs w:val="28"/>
        </w:rPr>
      </w:pPr>
    </w:p>
    <w:p w:rsidR="00B52963" w:rsidRDefault="00B52963">
      <w:pPr>
        <w:jc w:val="both"/>
        <w:rPr>
          <w:color w:val="000000"/>
          <w:szCs w:val="28"/>
        </w:rPr>
      </w:pPr>
    </w:p>
    <w:p w:rsidR="00B52963" w:rsidRDefault="00B52963">
      <w:pPr>
        <w:jc w:val="both"/>
        <w:rPr>
          <w:color w:val="000000"/>
          <w:szCs w:val="28"/>
        </w:rPr>
      </w:pPr>
    </w:p>
    <w:p w:rsidR="00B52963" w:rsidRDefault="00B52963">
      <w:pPr>
        <w:jc w:val="both"/>
        <w:rPr>
          <w:color w:val="000000"/>
          <w:szCs w:val="28"/>
        </w:rPr>
      </w:pPr>
    </w:p>
    <w:p w:rsidR="00B52963" w:rsidRDefault="00B52963">
      <w:pPr>
        <w:jc w:val="both"/>
        <w:rPr>
          <w:color w:val="000000"/>
          <w:szCs w:val="28"/>
        </w:rPr>
      </w:pPr>
    </w:p>
    <w:p w:rsidR="00B52963" w:rsidRDefault="00B52963">
      <w:pPr>
        <w:jc w:val="both"/>
        <w:rPr>
          <w:color w:val="000000"/>
          <w:szCs w:val="28"/>
        </w:rPr>
      </w:pPr>
    </w:p>
    <w:p w:rsidR="00B52963" w:rsidRDefault="00B52963">
      <w:pPr>
        <w:jc w:val="both"/>
        <w:rPr>
          <w:color w:val="000000"/>
          <w:szCs w:val="28"/>
        </w:rPr>
      </w:pPr>
    </w:p>
    <w:p w:rsidR="00B52963" w:rsidRDefault="00EE1A75">
      <w:pPr>
        <w:jc w:val="both"/>
        <w:rPr>
          <w:color w:val="000000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850"/>
        <w:gridCol w:w="709"/>
        <w:gridCol w:w="1559"/>
        <w:gridCol w:w="426"/>
        <w:gridCol w:w="708"/>
        <w:gridCol w:w="426"/>
        <w:gridCol w:w="425"/>
        <w:gridCol w:w="283"/>
        <w:gridCol w:w="426"/>
        <w:gridCol w:w="425"/>
        <w:gridCol w:w="425"/>
        <w:gridCol w:w="284"/>
        <w:gridCol w:w="283"/>
        <w:gridCol w:w="425"/>
        <w:gridCol w:w="851"/>
      </w:tblGrid>
      <w:tr w:rsidR="00B83D17" w:rsidTr="00B83D17">
        <w:trPr>
          <w:cantSplit/>
          <w:trHeight w:val="585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963" w:rsidRDefault="00EE1A75">
            <w:r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963" w:rsidRDefault="00EE1A75">
            <w:r>
              <w:rPr>
                <w:sz w:val="16"/>
                <w:szCs w:val="16"/>
              </w:rPr>
              <w:t>121А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Новый – г. Гео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гиевск (Консер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ный 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вод)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вый, г. Георг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евск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п. Новому: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езд Безымянный,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Космонавтов,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проезд Юго-Западный,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Курганная,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Южная,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60 лет СССР,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Ахметская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г. Георгиевску: ул. Ермолова,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Вехова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Маяковского,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Ермолова,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Строителей,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Кочубея,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Батакская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Калинина,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Быкова,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proofErr w:type="spellStart"/>
            <w:r>
              <w:rPr>
                <w:sz w:val="16"/>
                <w:szCs w:val="16"/>
              </w:rPr>
              <w:t>Тронина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Филатова,</w:t>
            </w:r>
          </w:p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Лесная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любом не 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щенном прав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лами доро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движ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месте по мар</w:t>
            </w:r>
            <w:r>
              <w:rPr>
                <w:sz w:val="16"/>
                <w:szCs w:val="16"/>
              </w:rPr>
              <w:t>ш</w:t>
            </w:r>
            <w:r>
              <w:rPr>
                <w:sz w:val="16"/>
                <w:szCs w:val="16"/>
              </w:rPr>
              <w:t>руту рег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лярных перев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зок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лярные 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ки по 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г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емым 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фам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963" w:rsidRDefault="00EE1A75">
            <w:pPr>
              <w:rPr>
                <w:sz w:val="16"/>
              </w:rPr>
            </w:pPr>
            <w:r>
              <w:rPr>
                <w:sz w:val="16"/>
              </w:rPr>
              <w:t>а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>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бус. М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лый класс</w:t>
            </w:r>
            <w:proofErr w:type="gramStart"/>
            <w:r>
              <w:rPr>
                <w:sz w:val="16"/>
              </w:rPr>
              <w:t xml:space="preserve"> .</w:t>
            </w:r>
            <w:proofErr w:type="gramEnd"/>
          </w:p>
          <w:p w:rsidR="00B52963" w:rsidRDefault="00EE1A75">
            <w:pPr>
              <w:rPr>
                <w:sz w:val="16"/>
              </w:rPr>
            </w:pPr>
            <w:r>
              <w:rPr>
                <w:sz w:val="16"/>
              </w:rPr>
              <w:t>Е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>ро 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963" w:rsidRDefault="00EE1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963" w:rsidRDefault="00EE1A75">
            <w:pPr>
              <w:suppressLineNumbers/>
              <w:suppressAutoHyphens/>
              <w:snapToGri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Согласно приложению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963" w:rsidRDefault="00EE1A75">
            <w:pPr>
              <w:rPr>
                <w:sz w:val="16"/>
              </w:rPr>
            </w:pPr>
            <w:r>
              <w:rPr>
                <w:sz w:val="16"/>
              </w:rPr>
              <w:t>М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мальное к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л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ство мест: 19 вс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го, в том числе 18 для с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ния</w:t>
            </w:r>
          </w:p>
          <w:p w:rsidR="00B52963" w:rsidRDefault="00B52963">
            <w:pPr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963" w:rsidRDefault="00EE1A75">
            <w:pPr>
              <w:rPr>
                <w:sz w:val="16"/>
              </w:rPr>
            </w:pPr>
            <w:r>
              <w:rPr>
                <w:sz w:val="16"/>
                <w:szCs w:val="16"/>
              </w:rPr>
              <w:t>Макс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мальный срок эк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плуат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 транспортного средства: не 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лее 4-х лет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963" w:rsidRDefault="00B52963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963" w:rsidRDefault="00B52963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963" w:rsidRDefault="00B529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963" w:rsidRDefault="00EE1A75">
            <w:pPr>
              <w:suppressLineNumbers/>
              <w:suppressAutoHyphens/>
              <w:snapToGrid w:val="0"/>
              <w:spacing w:line="276" w:lineRule="auto"/>
            </w:pPr>
            <w:r>
              <w:rPr>
                <w:sz w:val="16"/>
                <w:szCs w:val="16"/>
                <w:lang w:eastAsia="ar-SA"/>
              </w:rPr>
              <w:t>Решение комиссии по регулированию рынка транспортных услуг при администрации Георгиевского муниципального округа Ставропольского края от 19 февраля 2026 г. № 2</w:t>
            </w:r>
          </w:p>
        </w:tc>
      </w:tr>
    </w:tbl>
    <w:p w:rsidR="00B52963" w:rsidRDefault="00B83D17">
      <w:pPr>
        <w:widowControl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EE1A75">
        <w:rPr>
          <w:sz w:val="28"/>
          <w:szCs w:val="28"/>
        </w:rPr>
        <w:t>».</w:t>
      </w:r>
    </w:p>
    <w:p w:rsidR="00B52963" w:rsidRDefault="00EE1A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</w:t>
      </w:r>
      <w:r w:rsidR="00B83D17">
        <w:rPr>
          <w:sz w:val="28"/>
          <w:szCs w:val="28"/>
        </w:rPr>
        <w:t>оставляю за собой.</w:t>
      </w:r>
    </w:p>
    <w:p w:rsidR="00B52963" w:rsidRDefault="00B52963">
      <w:pPr>
        <w:pStyle w:val="a6"/>
        <w:ind w:firstLine="709"/>
        <w:jc w:val="both"/>
        <w:rPr>
          <w:szCs w:val="28"/>
        </w:rPr>
      </w:pPr>
    </w:p>
    <w:p w:rsidR="00B52963" w:rsidRDefault="00EE1A75">
      <w:pPr>
        <w:pStyle w:val="a8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01 марта 2026 года и подлежит официальному опубликованию в сетевом издании «Официальный сайт Георгиевского муниципального округа Ставропольского края».</w:t>
      </w:r>
    </w:p>
    <w:p w:rsidR="00B52963" w:rsidRDefault="00B52963">
      <w:pPr>
        <w:pStyle w:val="a8"/>
        <w:spacing w:line="240" w:lineRule="auto"/>
        <w:ind w:firstLine="709"/>
        <w:jc w:val="both"/>
        <w:rPr>
          <w:sz w:val="28"/>
          <w:szCs w:val="28"/>
        </w:rPr>
      </w:pPr>
    </w:p>
    <w:p w:rsidR="00B52963" w:rsidRDefault="00B52963">
      <w:pPr>
        <w:pStyle w:val="a8"/>
        <w:spacing w:line="240" w:lineRule="auto"/>
        <w:rPr>
          <w:sz w:val="28"/>
          <w:szCs w:val="26"/>
        </w:rPr>
      </w:pPr>
    </w:p>
    <w:p w:rsidR="00B52963" w:rsidRDefault="00B52963">
      <w:pPr>
        <w:pStyle w:val="a8"/>
        <w:spacing w:line="240" w:lineRule="auto"/>
        <w:rPr>
          <w:sz w:val="28"/>
          <w:szCs w:val="26"/>
        </w:rPr>
      </w:pPr>
    </w:p>
    <w:p w:rsidR="00B83D17" w:rsidRPr="00393531" w:rsidRDefault="00B83D17" w:rsidP="00B83D17">
      <w:pPr>
        <w:spacing w:line="240" w:lineRule="exact"/>
        <w:jc w:val="both"/>
        <w:rPr>
          <w:sz w:val="28"/>
          <w:szCs w:val="28"/>
        </w:rPr>
      </w:pPr>
      <w:proofErr w:type="gramStart"/>
      <w:r w:rsidRPr="00393531">
        <w:rPr>
          <w:sz w:val="28"/>
          <w:szCs w:val="28"/>
        </w:rPr>
        <w:t>Исполняющая</w:t>
      </w:r>
      <w:proofErr w:type="gramEnd"/>
      <w:r w:rsidRPr="00393531">
        <w:rPr>
          <w:sz w:val="28"/>
          <w:szCs w:val="28"/>
        </w:rPr>
        <w:t xml:space="preserve"> полномочия Главы</w:t>
      </w:r>
    </w:p>
    <w:p w:rsidR="00B83D17" w:rsidRPr="00393531" w:rsidRDefault="00B83D17" w:rsidP="00B83D17">
      <w:pPr>
        <w:spacing w:line="240" w:lineRule="exact"/>
        <w:jc w:val="both"/>
        <w:rPr>
          <w:sz w:val="28"/>
          <w:szCs w:val="28"/>
        </w:rPr>
      </w:pPr>
      <w:r w:rsidRPr="00393531">
        <w:rPr>
          <w:sz w:val="28"/>
          <w:szCs w:val="28"/>
        </w:rPr>
        <w:t xml:space="preserve">Георгиевского муниципального округа </w:t>
      </w:r>
    </w:p>
    <w:p w:rsidR="00B83D17" w:rsidRDefault="00B83D17" w:rsidP="00B83D17">
      <w:pPr>
        <w:spacing w:line="240" w:lineRule="exact"/>
        <w:jc w:val="both"/>
        <w:rPr>
          <w:sz w:val="28"/>
          <w:szCs w:val="26"/>
        </w:rPr>
      </w:pPr>
      <w:r w:rsidRPr="00393531"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 w:rsidRPr="00393531">
        <w:rPr>
          <w:sz w:val="28"/>
          <w:szCs w:val="28"/>
        </w:rPr>
        <w:t>Л.С.Мочалова</w:t>
      </w:r>
      <w:proofErr w:type="spellEnd"/>
    </w:p>
    <w:sectPr w:rsidR="00B83D17" w:rsidSect="00B83D17">
      <w:headerReference w:type="default" r:id="rId9"/>
      <w:pgSz w:w="11906" w:h="16838" w:code="9"/>
      <w:pgMar w:top="1418" w:right="567" w:bottom="1134" w:left="1985" w:header="567" w:footer="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5E4" w:rsidRDefault="000775E4">
      <w:r>
        <w:separator/>
      </w:r>
    </w:p>
  </w:endnote>
  <w:endnote w:type="continuationSeparator" w:id="0">
    <w:p w:rsidR="000775E4" w:rsidRDefault="0007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5E4" w:rsidRDefault="000775E4">
      <w:r>
        <w:separator/>
      </w:r>
    </w:p>
  </w:footnote>
  <w:footnote w:type="continuationSeparator" w:id="0">
    <w:p w:rsidR="000775E4" w:rsidRDefault="00077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63" w:rsidRPr="00B83D17" w:rsidRDefault="00B83D17" w:rsidP="00B83D17">
    <w:pPr>
      <w:pStyle w:val="aa"/>
      <w:jc w:val="right"/>
      <w:rPr>
        <w:sz w:val="28"/>
        <w:szCs w:val="28"/>
      </w:rPr>
    </w:pPr>
    <w:r w:rsidRPr="00B83D17">
      <w:rPr>
        <w:sz w:val="28"/>
        <w:szCs w:val="28"/>
      </w:rPr>
      <w:fldChar w:fldCharType="begin"/>
    </w:r>
    <w:r w:rsidRPr="00B83D17">
      <w:rPr>
        <w:sz w:val="28"/>
        <w:szCs w:val="28"/>
      </w:rPr>
      <w:instrText xml:space="preserve"> PAGE  \* Arabic  \* MERGEFORMAT </w:instrText>
    </w:r>
    <w:r w:rsidRPr="00B83D17">
      <w:rPr>
        <w:sz w:val="28"/>
        <w:szCs w:val="28"/>
      </w:rPr>
      <w:fldChar w:fldCharType="separate"/>
    </w:r>
    <w:r w:rsidR="00FA35F0">
      <w:rPr>
        <w:noProof/>
        <w:sz w:val="28"/>
        <w:szCs w:val="28"/>
      </w:rPr>
      <w:t>2</w:t>
    </w:r>
    <w:r w:rsidRPr="00B83D17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7A9"/>
    <w:multiLevelType w:val="multilevel"/>
    <w:tmpl w:val="50C85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B6729E"/>
    <w:multiLevelType w:val="multilevel"/>
    <w:tmpl w:val="BA1A29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63"/>
    <w:rsid w:val="000775E4"/>
    <w:rsid w:val="007D0798"/>
    <w:rsid w:val="008E2130"/>
    <w:rsid w:val="00B52963"/>
    <w:rsid w:val="00B83D17"/>
    <w:rsid w:val="00EE1A75"/>
    <w:rsid w:val="00FA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C2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0EC2"/>
    <w:pPr>
      <w:keepNext/>
      <w:outlineLvl w:val="0"/>
    </w:pPr>
    <w:rPr>
      <w:sz w:val="2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qFormat/>
    <w:rsid w:val="005E0EC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6"/>
    <w:uiPriority w:val="1"/>
    <w:qFormat/>
    <w:locked/>
    <w:rsid w:val="005E0EC2"/>
    <w:rPr>
      <w:rFonts w:ascii="Times New Roman" w:eastAsia="Calibri" w:hAnsi="Times New Roman" w:cs="Times New Roman"/>
      <w:sz w:val="28"/>
    </w:rPr>
  </w:style>
  <w:style w:type="character" w:customStyle="1" w:styleId="a7">
    <w:name w:val="Рабочий Знак"/>
    <w:link w:val="a8"/>
    <w:qFormat/>
    <w:rsid w:val="005E0EC2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2"/>
    <w:link w:val="aa"/>
    <w:uiPriority w:val="99"/>
    <w:qFormat/>
    <w:rsid w:val="000641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2"/>
    <w:link w:val="ac"/>
    <w:uiPriority w:val="99"/>
    <w:qFormat/>
    <w:rsid w:val="000641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6">
    <w:name w:val="No Spacing"/>
    <w:link w:val="a5"/>
    <w:uiPriority w:val="1"/>
    <w:qFormat/>
    <w:rsid w:val="005E0EC2"/>
    <w:rPr>
      <w:rFonts w:ascii="Times New Roman" w:hAnsi="Times New Roman" w:cs="Times New Roman"/>
      <w:sz w:val="28"/>
    </w:rPr>
  </w:style>
  <w:style w:type="paragraph" w:customStyle="1" w:styleId="a8">
    <w:name w:val="Рабочий"/>
    <w:basedOn w:val="a"/>
    <w:link w:val="a7"/>
    <w:autoRedefine/>
    <w:qFormat/>
    <w:rsid w:val="005E0EC2"/>
    <w:pPr>
      <w:spacing w:line="280" w:lineRule="exact"/>
    </w:pPr>
    <w:rPr>
      <w:rFonts w:eastAsia="Calibri"/>
      <w:sz w:val="24"/>
      <w:szCs w:val="24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Колонтитулы"/>
    <w:basedOn w:val="a"/>
    <w:qFormat/>
  </w:style>
  <w:style w:type="paragraph" w:customStyle="1" w:styleId="user3">
    <w:name w:val="Колонтитулы (user)"/>
    <w:basedOn w:val="a"/>
    <w:qFormat/>
  </w:style>
  <w:style w:type="paragraph" w:styleId="aa">
    <w:name w:val="header"/>
    <w:basedOn w:val="a"/>
    <w:link w:val="a9"/>
    <w:uiPriority w:val="99"/>
    <w:unhideWhenUsed/>
    <w:rsid w:val="000641A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0641A9"/>
    <w:pPr>
      <w:tabs>
        <w:tab w:val="center" w:pos="4677"/>
        <w:tab w:val="right" w:pos="9355"/>
      </w:tabs>
    </w:pPr>
  </w:style>
  <w:style w:type="paragraph" w:customStyle="1" w:styleId="af3">
    <w:name w:val="Верхний колонтитул слева"/>
    <w:basedOn w:val="aa"/>
    <w:qFormat/>
  </w:style>
  <w:style w:type="paragraph" w:customStyle="1" w:styleId="user4">
    <w:name w:val="Верхний колонтитул слева (user)"/>
    <w:basedOn w:val="aa"/>
    <w:qFormat/>
    <w:pPr>
      <w:suppressLineNumbers/>
      <w:tabs>
        <w:tab w:val="clear" w:pos="9355"/>
        <w:tab w:val="right" w:pos="9354"/>
      </w:tabs>
    </w:pPr>
  </w:style>
  <w:style w:type="numbering" w:customStyle="1" w:styleId="af4">
    <w:name w:val="Без списка"/>
    <w:uiPriority w:val="99"/>
    <w:semiHidden/>
    <w:unhideWhenUsed/>
    <w:qFormat/>
  </w:style>
  <w:style w:type="table" w:customStyle="1" w:styleId="12">
    <w:name w:val="Сетка таблицы1"/>
    <w:basedOn w:val="a3"/>
    <w:uiPriority w:val="59"/>
    <w:rsid w:val="0072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3"/>
    <w:uiPriority w:val="39"/>
    <w:rsid w:val="00722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785BA-FC4D-4900-85C9-9C3DCFA1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11450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Васекина</cp:lastModifiedBy>
  <cp:revision>27</cp:revision>
  <cp:lastPrinted>2026-02-13T12:12:00Z</cp:lastPrinted>
  <dcterms:created xsi:type="dcterms:W3CDTF">2025-08-20T14:22:00Z</dcterms:created>
  <dcterms:modified xsi:type="dcterms:W3CDTF">2026-02-27T14:24:00Z</dcterms:modified>
  <dc:language>ru-RU</dc:language>
</cp:coreProperties>
</file>